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5" w:rsidRPr="00DC7D0D" w:rsidRDefault="00B90465" w:rsidP="00B90465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90465" w:rsidRPr="00DC7D0D" w:rsidRDefault="00B90465" w:rsidP="00B9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B90465" w:rsidRDefault="00B90465" w:rsidP="00B90465">
      <w:pPr>
        <w:rPr>
          <w:rFonts w:ascii="Arial" w:hAnsi="Arial" w:cs="Arial"/>
          <w:b/>
        </w:rPr>
      </w:pPr>
      <w:r w:rsidRPr="00DC7D0D">
        <w:rPr>
          <w:rFonts w:ascii="Arial" w:hAnsi="Arial" w:cs="Arial"/>
        </w:rPr>
        <w:t>Administratorem czyli podmiotem decydującym o celach i sposobach przetwarzania Pani/Pana danych osobowych i danych osobowych kandydata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Szkoła Podstawowa nr 45, im. Okrętu Rzeczypospolitej Polskiej „Poznań” w Poznaniu. </w:t>
      </w:r>
    </w:p>
    <w:p w:rsidR="00B90465" w:rsidRDefault="00B90465" w:rsidP="00B90465">
      <w:pPr>
        <w:rPr>
          <w:rFonts w:ascii="Arial" w:hAnsi="Arial" w:cs="Arial"/>
          <w:b/>
        </w:rPr>
      </w:pPr>
    </w:p>
    <w:p w:rsidR="00B90465" w:rsidRPr="00B90465" w:rsidRDefault="00B90465" w:rsidP="00B904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90465">
        <w:rPr>
          <w:rFonts w:ascii="Arial" w:hAnsi="Arial" w:cs="Arial"/>
          <w:b/>
          <w:bCs/>
        </w:rPr>
        <w:t>Inspektor Ochrony Danych Osobowych</w:t>
      </w:r>
    </w:p>
    <w:p w:rsidR="00B90465" w:rsidRDefault="00B90465" w:rsidP="00B90465">
      <w:pPr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</w:t>
      </w:r>
      <w:r>
        <w:rPr>
          <w:rFonts w:ascii="Arial" w:hAnsi="Arial" w:cs="Arial"/>
        </w:rPr>
        <w:t xml:space="preserve">: </w:t>
      </w:r>
      <w:hyperlink r:id="rId5" w:history="1">
        <w:r w:rsidRPr="00047F4F">
          <w:rPr>
            <w:rStyle w:val="Hipercze"/>
            <w:rFonts w:ascii="Arial" w:hAnsi="Arial" w:cs="Arial"/>
          </w:rPr>
          <w:t>iod5_oswiata@um.poznan.pl</w:t>
        </w:r>
      </w:hyperlink>
      <w:r>
        <w:rPr>
          <w:rFonts w:ascii="Arial" w:hAnsi="Arial" w:cs="Arial"/>
        </w:rPr>
        <w:t xml:space="preserve"> </w:t>
      </w:r>
      <w:r w:rsidRPr="00DC7D0D">
        <w:rPr>
          <w:rFonts w:ascii="Arial" w:hAnsi="Arial" w:cs="Arial"/>
        </w:rPr>
        <w:t xml:space="preserve">lub pisemnie na adres naszej siedziby, wskazany w </w:t>
      </w:r>
      <w:proofErr w:type="spellStart"/>
      <w:r w:rsidRPr="00DC7D0D">
        <w:rPr>
          <w:rFonts w:ascii="Arial" w:hAnsi="Arial" w:cs="Arial"/>
        </w:rPr>
        <w:t>pkt</w:t>
      </w:r>
      <w:proofErr w:type="spellEnd"/>
      <w:r w:rsidRPr="00DC7D0D">
        <w:rPr>
          <w:rFonts w:ascii="Arial" w:hAnsi="Arial" w:cs="Arial"/>
        </w:rPr>
        <w:t xml:space="preserve"> 1.</w:t>
      </w:r>
    </w:p>
    <w:p w:rsidR="00B90465" w:rsidRDefault="00B90465" w:rsidP="00B90465">
      <w:pPr>
        <w:rPr>
          <w:rFonts w:ascii="Arial" w:hAnsi="Arial" w:cs="Arial"/>
        </w:rPr>
      </w:pPr>
    </w:p>
    <w:p w:rsidR="00B90465" w:rsidRPr="00DC7D0D" w:rsidRDefault="00B90465" w:rsidP="00B90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90465" w:rsidRDefault="00B90465" w:rsidP="00B9046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90465" w:rsidRDefault="00B90465" w:rsidP="00B9046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90465" w:rsidRDefault="00B90465" w:rsidP="00B9046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90465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90465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90465" w:rsidRPr="00DC7D0D" w:rsidRDefault="00B90465" w:rsidP="00B90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90465" w:rsidRDefault="00B90465" w:rsidP="00B904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90465" w:rsidRPr="00DC7D0D" w:rsidRDefault="00B90465" w:rsidP="00B90465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90465" w:rsidRPr="00DC7D0D" w:rsidRDefault="00B90465" w:rsidP="00B904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90465" w:rsidRPr="00DC7D0D" w:rsidRDefault="00B90465" w:rsidP="00B90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90465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 xml:space="preserve">gą zostać przekazane podmiotom,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 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90465" w:rsidRPr="00DC7D0D" w:rsidRDefault="00B90465" w:rsidP="00B9046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90465" w:rsidRPr="00BD6032" w:rsidRDefault="00B90465" w:rsidP="00B90465">
      <w:pPr>
        <w:pStyle w:val="Akapitzlist"/>
        <w:numPr>
          <w:ilvl w:val="0"/>
          <w:numId w:val="8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90465" w:rsidRPr="00BD6032" w:rsidRDefault="00B90465" w:rsidP="00B90465">
      <w:pPr>
        <w:pStyle w:val="Akapitzlist"/>
        <w:numPr>
          <w:ilvl w:val="0"/>
          <w:numId w:val="8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90465" w:rsidRPr="00CB6C81" w:rsidRDefault="00B90465" w:rsidP="00B90465">
      <w:pPr>
        <w:pStyle w:val="Akapitzlist"/>
        <w:numPr>
          <w:ilvl w:val="0"/>
          <w:numId w:val="8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90465" w:rsidRPr="00BD6032" w:rsidRDefault="00B90465" w:rsidP="00B90465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90465" w:rsidRPr="00BD6032" w:rsidRDefault="00B90465" w:rsidP="00B9046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90465" w:rsidRPr="00BD6032" w:rsidRDefault="00B90465" w:rsidP="00B90465">
      <w:pPr>
        <w:pStyle w:val="Akapitzlist"/>
        <w:numPr>
          <w:ilvl w:val="0"/>
          <w:numId w:val="9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90465" w:rsidRPr="00BD6032" w:rsidRDefault="00B90465" w:rsidP="00B9046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90465" w:rsidRPr="00BD6032" w:rsidRDefault="00B90465" w:rsidP="00B9046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90465" w:rsidRPr="00BD6032" w:rsidRDefault="00B90465" w:rsidP="00B9046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90465" w:rsidRPr="00DC7D0D" w:rsidRDefault="00B90465" w:rsidP="00B904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</w:t>
      </w:r>
      <w:r w:rsidRPr="00DC7D0D">
        <w:rPr>
          <w:rFonts w:ascii="Arial" w:hAnsi="Arial" w:cs="Arial"/>
        </w:rPr>
        <w:lastRenderedPageBreak/>
        <w:t>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B90465" w:rsidRPr="00DC7D0D" w:rsidRDefault="00B90465" w:rsidP="00B904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90465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90465" w:rsidRPr="00DC7D0D" w:rsidRDefault="00B90465" w:rsidP="00B904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90465" w:rsidRPr="00DC7D0D" w:rsidRDefault="00B90465" w:rsidP="00B904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90465" w:rsidRPr="00B90465" w:rsidRDefault="00B90465" w:rsidP="00B90465">
      <w:pPr>
        <w:rPr>
          <w:b/>
        </w:rPr>
      </w:pPr>
    </w:p>
    <w:sectPr w:rsidR="00B90465" w:rsidRPr="00B90465" w:rsidSect="001E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0D28F9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7"/>
    </w:lvlOverride>
  </w:num>
  <w:num w:numId="7">
    <w:abstractNumId w:val="10"/>
    <w:lvlOverride w:ilvl="0">
      <w:startOverride w:val="8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446"/>
    <w:rsid w:val="000A3108"/>
    <w:rsid w:val="001E5CFF"/>
    <w:rsid w:val="00B90465"/>
    <w:rsid w:val="00C01C8D"/>
    <w:rsid w:val="00C82FD7"/>
    <w:rsid w:val="00C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65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46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90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5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2021-03-04T11:52:00Z</dcterms:created>
  <dcterms:modified xsi:type="dcterms:W3CDTF">2021-03-15T10:04:00Z</dcterms:modified>
</cp:coreProperties>
</file>